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B622" w14:textId="77777777" w:rsidR="00C7469D" w:rsidRDefault="00ED5619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粤海水</w:t>
      </w:r>
      <w:proofErr w:type="gramStart"/>
      <w:r>
        <w:rPr>
          <w:rFonts w:ascii="Times New Roman" w:eastAsia="方正小标宋_GBK" w:hAnsi="Times New Roman" w:cs="Times New Roman"/>
          <w:sz w:val="36"/>
          <w:szCs w:val="36"/>
        </w:rPr>
        <w:t>务</w:t>
      </w:r>
      <w:proofErr w:type="gramEnd"/>
      <w:r>
        <w:rPr>
          <w:rFonts w:ascii="Times New Roman" w:eastAsia="方正小标宋_GBK" w:hAnsi="Times New Roman" w:cs="Times New Roman"/>
          <w:sz w:val="36"/>
          <w:szCs w:val="36"/>
        </w:rPr>
        <w:t>-</w:t>
      </w:r>
      <w:r>
        <w:rPr>
          <w:rFonts w:ascii="Times New Roman" w:eastAsia="方正小标宋_GBK" w:hAnsi="Times New Roman" w:cs="Times New Roman"/>
          <w:sz w:val="36"/>
          <w:szCs w:val="36"/>
        </w:rPr>
        <w:t>哈尔滨工业大学联合揭榜项目（</w:t>
      </w:r>
      <w:r>
        <w:rPr>
          <w:rFonts w:ascii="Times New Roman" w:eastAsia="方正小标宋_GBK" w:hAnsi="Times New Roman" w:cs="Times New Roman"/>
          <w:sz w:val="36"/>
          <w:szCs w:val="36"/>
        </w:rPr>
        <w:t>2023</w:t>
      </w:r>
      <w:r>
        <w:rPr>
          <w:rFonts w:ascii="Times New Roman" w:eastAsia="方正小标宋_GBK" w:hAnsi="Times New Roman" w:cs="Times New Roman"/>
          <w:sz w:val="36"/>
          <w:szCs w:val="36"/>
        </w:rPr>
        <w:t>年度）发榜榜单</w:t>
      </w:r>
    </w:p>
    <w:p w14:paraId="5F8B33B4" w14:textId="77777777" w:rsidR="00C7469D" w:rsidRDefault="00ED5619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粤海水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-</w:t>
      </w:r>
      <w:r>
        <w:rPr>
          <w:rFonts w:ascii="Times New Roman" w:eastAsia="仿宋_GB2312" w:hAnsi="Times New Roman" w:cs="Times New Roman"/>
          <w:sz w:val="28"/>
          <w:szCs w:val="28"/>
        </w:rPr>
        <w:t>哈尔滨工业大学联合揭榜项目（</w:t>
      </w:r>
      <w:r>
        <w:rPr>
          <w:rFonts w:ascii="Times New Roman" w:eastAsia="仿宋_GB2312" w:hAnsi="Times New Roman" w:cs="Times New Roman"/>
          <w:sz w:val="28"/>
          <w:szCs w:val="28"/>
        </w:rPr>
        <w:t>2023</w:t>
      </w:r>
      <w:r>
        <w:rPr>
          <w:rFonts w:ascii="Times New Roman" w:eastAsia="仿宋_GB2312" w:hAnsi="Times New Roman" w:cs="Times New Roman"/>
          <w:sz w:val="28"/>
          <w:szCs w:val="28"/>
        </w:rPr>
        <w:t>年度）共设置</w:t>
      </w:r>
      <w:r>
        <w:rPr>
          <w:rFonts w:ascii="Times New Roman" w:eastAsia="仿宋_GB2312" w:hAnsi="Times New Roman" w:cs="Times New Roman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sz w:val="28"/>
          <w:szCs w:val="28"/>
        </w:rPr>
        <w:t>个课题，具体课题内容及考核指标见各课题榜单。</w:t>
      </w:r>
    </w:p>
    <w:p w14:paraId="7A4B7C3E" w14:textId="77777777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市政污水厂增效扩容技术及装配式设备应用研究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7744A763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41B52D0" w14:textId="66C3F4B9" w:rsidR="00C7469D" w:rsidRDefault="008428F8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7469D" w14:paraId="23D2D3C0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FD67927" w14:textId="3FCE17BC" w:rsidR="00C7469D" w:rsidRDefault="00ED561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某市政污水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厂</w:t>
            </w:r>
            <w:r w:rsidR="0077631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设计水量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，实际</w:t>
            </w:r>
            <w:r w:rsidR="0077631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处理水量约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4.55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vertAlign w:val="superscript"/>
              </w:rPr>
              <w:t>3</w:t>
            </w:r>
            <w:r w:rsidR="0077631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。一级处理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工艺：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初沉池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高密度沉淀池；</w:t>
            </w:r>
            <w:r w:rsidR="0077631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二级生物处理工艺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AO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HRT=5h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+AO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A274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百</w:t>
            </w:r>
            <w:proofErr w:type="gramStart"/>
            <w:r w:rsidR="00A274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乐克池</w:t>
            </w:r>
            <w:proofErr w:type="gramEnd"/>
            <w:r w:rsidR="00A274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HRT=15h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二沉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池；深度处理工艺：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磁混凝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沉淀池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反硝化滤池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臭氧催化氧化池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曝气生物滤池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纤维转盘滤池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接触消毒池，其中，臭氧催化氧化工艺</w:t>
            </w:r>
            <w:r w:rsidR="00A274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未开启。</w:t>
            </w:r>
          </w:p>
          <w:p w14:paraId="01F28E23" w14:textId="538F54A0" w:rsidR="00C7469D" w:rsidRDefault="00ED5619">
            <w:pPr>
              <w:pStyle w:val="p0"/>
              <w:spacing w:line="240" w:lineRule="auto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污水处理厂目前</w:t>
            </w:r>
            <w:r w:rsidR="00A274D2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使用的</w:t>
            </w:r>
            <w:proofErr w:type="gramStart"/>
            <w:r w:rsidR="00A274D2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外加碳源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乙酸钠（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万当量），投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加点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位为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百乐克缺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氧池，日投加量为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3</w:t>
            </w:r>
            <w:r w:rsidR="00776316">
              <w:rPr>
                <w:rFonts w:ascii="Times New Roman" w:eastAsia="仿宋_GB2312" w:hAnsi="Times New Roman" w:cs="Times New Roman"/>
                <w:kern w:val="2"/>
                <w:szCs w:val="24"/>
              </w:rPr>
              <w:t>~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吨，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二沉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池出水总氮约为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30mg/L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。以往数据显示：当乙酸钠日投加量为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吨时，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二沉池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出水总氮约为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14</w:t>
            </w:r>
            <w:r w:rsidR="00776316">
              <w:rPr>
                <w:rFonts w:ascii="Times New Roman" w:eastAsia="仿宋_GB2312" w:hAnsi="Times New Roman" w:cs="Times New Roman"/>
                <w:kern w:val="2"/>
                <w:szCs w:val="24"/>
              </w:rPr>
              <w:t>~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15mg/L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；当乙酸钠日投加量为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吨时，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二沉池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出水总氮约为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20mg/L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其中磁混凝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沉淀池添加：除磷剂</w:t>
            </w:r>
            <w:r w:rsidR="00A6379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（</w:t>
            </w:r>
            <w:r w:rsidR="00A6379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PAC</w:t>
            </w:r>
            <w:r w:rsidR="00A6379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110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吨</w:t>
            </w:r>
            <w:r w:rsidR="00EE6BC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/</w:t>
            </w:r>
            <w:r w:rsidR="00EE6BC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PAM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1400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万当量）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1.7-1.8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吨</w:t>
            </w:r>
            <w:r w:rsidR="00EE6BC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/</w:t>
            </w:r>
            <w:r w:rsidR="00EE6BCA"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2"/>
                <w:szCs w:val="24"/>
              </w:rPr>
              <w:t>。</w:t>
            </w:r>
          </w:p>
          <w:p w14:paraId="51437455" w14:textId="40621393" w:rsidR="00C7469D" w:rsidRDefault="00A00F06" w:rsidP="00AF26CA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该厂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主要存在问题如下：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86742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进水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水</w:t>
            </w:r>
            <w:r w:rsidR="00AF26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质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波动大</w:t>
            </w:r>
            <w:r w:rsidR="0086742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存在</w:t>
            </w:r>
            <w:r w:rsidR="0086742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出水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不达标风险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proofErr w:type="gramStart"/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外碳源投</w:t>
            </w:r>
            <w:proofErr w:type="gramEnd"/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加量大，但利用率较低，导致缺氧池脱氮效能较低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EE6B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ED5619" w:rsidRPr="00953252">
              <w:rPr>
                <w:rFonts w:ascii="Times New Roman" w:eastAsia="仿宋_GB2312" w:hAnsi="Times New Roman" w:cs="Times New Roman"/>
                <w:sz w:val="24"/>
                <w:szCs w:val="24"/>
              </w:rPr>
              <w:t>百</w:t>
            </w:r>
            <w:proofErr w:type="gramStart"/>
            <w:r w:rsidR="00ED5619" w:rsidRPr="00953252">
              <w:rPr>
                <w:rFonts w:ascii="Times New Roman" w:eastAsia="仿宋_GB2312" w:hAnsi="Times New Roman" w:cs="Times New Roman"/>
                <w:sz w:val="24"/>
                <w:szCs w:val="24"/>
              </w:rPr>
              <w:t>乐克池</w:t>
            </w:r>
            <w:proofErr w:type="gramEnd"/>
            <w:r w:rsidR="00ED5619" w:rsidRPr="00953252">
              <w:rPr>
                <w:rFonts w:ascii="Times New Roman" w:eastAsia="仿宋_GB2312" w:hAnsi="Times New Roman" w:cs="Times New Roman"/>
                <w:sz w:val="24"/>
                <w:szCs w:val="24"/>
              </w:rPr>
              <w:t>构造及配套设施不</w:t>
            </w:r>
            <w:r w:rsidR="00953252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能</w:t>
            </w:r>
            <w:r w:rsidR="00ED5619" w:rsidRPr="00953252">
              <w:rPr>
                <w:rFonts w:ascii="Times New Roman" w:eastAsia="仿宋_GB2312" w:hAnsi="Times New Roman" w:cs="Times New Roman"/>
                <w:sz w:val="24"/>
                <w:szCs w:val="24"/>
              </w:rPr>
              <w:t>满足</w:t>
            </w:r>
            <w:r w:rsidR="005E793B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生化池水力条件</w:t>
            </w:r>
            <w:r w:rsidR="00ED5619" w:rsidRPr="00953252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proofErr w:type="gramStart"/>
            <w:r w:rsid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存在短流</w:t>
            </w:r>
            <w:proofErr w:type="gramEnd"/>
            <w:r w:rsid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和曝气效率不高现象，</w:t>
            </w:r>
            <w:r w:rsidR="00ED5619" w:rsidRPr="00953252">
              <w:rPr>
                <w:rFonts w:ascii="Times New Roman" w:eastAsia="仿宋_GB2312" w:hAnsi="Times New Roman" w:cs="Times New Roman"/>
                <w:sz w:val="24"/>
                <w:szCs w:val="24"/>
              </w:rPr>
              <w:t>需要改造，但基本满负荷运行，无法实现不停产施工，可利用场地受限。</w:t>
            </w:r>
          </w:p>
        </w:tc>
      </w:tr>
      <w:tr w:rsidR="00C7469D" w14:paraId="54BB9F1F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A122252" w14:textId="68FAF23B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469D" w14:paraId="6C69B414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CD4415A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设计进水水质水量、池体参数校核及可利用地调研核算，提出改造方案，通过提高现有池体处理效率，增加缓冲效能等方式解决进水波动大的问题。</w:t>
            </w:r>
          </w:p>
          <w:p w14:paraId="35DBF269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整体工艺日常运行（加药、曝气及跌水等）排查及核算，提出优化运行方案，指导水厂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形成节碳降耗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的日常运行方式，降低运行费用。</w:t>
            </w:r>
          </w:p>
          <w:p w14:paraId="51EF8261" w14:textId="6F352081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可利用场地受限条件下，采用反硝化除磷技术，开展装配式一体化设备中试试验，论证</w:t>
            </w:r>
            <w:r w:rsidR="00D66F48" w:rsidRPr="00D66F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百</w:t>
            </w:r>
            <w:proofErr w:type="gramStart"/>
            <w:r w:rsidR="00D66F48" w:rsidRPr="00D66F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乐克池</w:t>
            </w:r>
            <w:proofErr w:type="gramEnd"/>
            <w:r w:rsidR="00D66F48" w:rsidRPr="00D66F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一侧停水施工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（水厂不停产）的技术可行性。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C7469D" w14:paraId="4215A216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E2E523C" w14:textId="47CE4529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0FBC3436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2F7FB1C" w14:textId="521888E0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设计制作</w:t>
            </w:r>
            <w:r w:rsidR="0003488F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30</w:t>
            </w:r>
            <w:r w:rsidR="0003488F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="0003488F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的装配式一体化中试设备（生化池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二沉池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）一套，出水（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磁混凝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池进水）水质要求：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COD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50mg/L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、氨氮：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1.5mg/L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、总氮：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15mg/L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、总磷：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1.5mg/L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；</w:t>
            </w:r>
          </w:p>
          <w:p w14:paraId="0E694834" w14:textId="279ACC06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针对现有工艺，编制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“</w:t>
            </w:r>
            <w:r w:rsidR="00D66F4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某污水处理厂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强化脱氮除磷工艺优化方案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”1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78039CFF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工艺改造前编制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百乐克池停水施工（水厂不停产）可行性研究报告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”1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3DAAE5FD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6045DE6B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7372A1F5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篇。</w:t>
            </w:r>
          </w:p>
        </w:tc>
      </w:tr>
      <w:tr w:rsidR="00C7469D" w14:paraId="1FB28B5C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22BA700" w14:textId="53DEB92F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4E68912B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C858E94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团队应具有前期生产性研究基础（规模不低于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00t/d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），拥有相应技术的国家发明专利支撑。</w:t>
            </w:r>
          </w:p>
          <w:p w14:paraId="1F991287" w14:textId="0F884CAC" w:rsidR="00744E4E" w:rsidRPr="00744E4E" w:rsidRDefault="00744E4E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  <w:highlight w:val="green"/>
              </w:rPr>
            </w:pPr>
            <w:r w:rsidRPr="00744E4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lastRenderedPageBreak/>
              <w:t>所用技术应具有处理城镇污水实际工程案例，规模不小于</w:t>
            </w:r>
            <w:r w:rsidRPr="00744E4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 w:rsidRPr="00744E4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</w:t>
            </w:r>
            <w:r w:rsidRPr="00744E4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m³/d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C7469D" w14:paraId="438E7454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C960D71" w14:textId="1429A205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7BF0FEAD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B1190E8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146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7CB6D01F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767305A" w14:textId="4B7EE190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22558599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C5B36E4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孙雪莹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13674618150</w:t>
            </w:r>
          </w:p>
        </w:tc>
      </w:tr>
    </w:tbl>
    <w:p w14:paraId="45F2FDF9" w14:textId="77777777" w:rsidR="00C7469D" w:rsidRDefault="00C7469D">
      <w:pPr>
        <w:rPr>
          <w:rFonts w:ascii="Times New Roman" w:hAnsi="Times New Roman" w:cs="Times New Roman"/>
        </w:rPr>
      </w:pPr>
    </w:p>
    <w:p w14:paraId="16060690" w14:textId="77777777" w:rsidR="00C7469D" w:rsidRDefault="00ED561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367245" w14:textId="77777777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印染废水处理全流程工艺优化及降耗研究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0F0F1B71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5BEAD67" w14:textId="53211DDE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14:paraId="1C81F471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19C7B6B" w14:textId="32FF9B21" w:rsidR="00C7469D" w:rsidRDefault="00ED5619" w:rsidP="0016389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某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污水处理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厂印染废水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</w:t>
            </w:r>
            <w:r w:rsidR="0077631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设计水量：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 w:rsidR="007D10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吨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实际</w:t>
            </w:r>
            <w:r w:rsidR="0077631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处理水量约：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 w:rsidR="007D10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吨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预处理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：格栅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调节池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加药反应池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平流式沉淀池；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二级生物处理工艺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：厌氧水解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+AO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；深度处理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：活性炭吸附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絮凝沉淀；污泥处理</w:t>
            </w:r>
            <w:r w:rsidR="00A00F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：板框压滤机将</w:t>
            </w:r>
            <w:r w:rsidR="0016389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污泥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含水率降低至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60%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以下。</w:t>
            </w:r>
          </w:p>
          <w:p w14:paraId="7B3788A4" w14:textId="19A4369A" w:rsidR="00C7469D" w:rsidRDefault="00A00F06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该厂主要存在问题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有电耗高、药剂费用高、污泥产量高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7469D" w14:paraId="3A0C3B7E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08B4614" w14:textId="6E51ABA9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497A3305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2531C88" w14:textId="54A52A3D" w:rsidR="00C7469D" w:rsidRDefault="00ED5619" w:rsidP="00966FB3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通过全过程优化技术研究，开展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4742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4742EA"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的中试试验，提出印染废水污水污泥协同处理全过程工艺优化方案，为水厂的运行或改造提供</w:t>
            </w:r>
            <w:r w:rsidR="00192B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支持和指导。</w:t>
            </w:r>
          </w:p>
        </w:tc>
      </w:tr>
      <w:tr w:rsidR="00C7469D" w14:paraId="6A73E98C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00427B3" w14:textId="66B41BF6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7343EEBA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BD392DF" w14:textId="75880CE2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通过开展全过程加药优化技术和污泥</w:t>
            </w:r>
            <w:r w:rsidR="00966FB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减量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化技术研究</w:t>
            </w:r>
            <w:r w:rsidR="00E84959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现场</w:t>
            </w:r>
            <w:r w:rsidR="00E84959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开展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5t/d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的中试，提出优化运行方式，并完成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工业污水处理节能降药耗及污泥减量化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项目中试研究报告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7EB66E3E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与现有系统运行工况（直接成本为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4.622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元）相比，直接成本（电耗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药耗）降低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10%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以上；</w:t>
            </w:r>
          </w:p>
          <w:p w14:paraId="37B03CD5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7F1A780A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357C0E78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篇。</w:t>
            </w:r>
          </w:p>
        </w:tc>
      </w:tr>
      <w:tr w:rsidR="00C7469D" w14:paraId="41E48D5E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02A4D4F" w14:textId="33CA4249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1C130557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810156E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团队在工业废水处理行业已有相关领域的研究成果，拥有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年以上的印染废水科研与工程经历。</w:t>
            </w:r>
          </w:p>
        </w:tc>
      </w:tr>
      <w:tr w:rsidR="00C7469D" w14:paraId="163FCB7E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0C08F22" w14:textId="60004944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2E6BCCDA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86E66D5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148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74D49322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89E8801" w14:textId="65D4FB21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77EFC520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A1D7A76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孙雪莹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13674618150</w:t>
            </w:r>
          </w:p>
        </w:tc>
      </w:tr>
    </w:tbl>
    <w:p w14:paraId="446A48AC" w14:textId="77777777" w:rsidR="00C7469D" w:rsidRDefault="00C7469D">
      <w:pPr>
        <w:rPr>
          <w:rFonts w:ascii="Times New Roman" w:hAnsi="Times New Roman" w:cs="Times New Roman"/>
        </w:rPr>
      </w:pPr>
    </w:p>
    <w:p w14:paraId="3C72C5A0" w14:textId="77777777" w:rsidR="00C7469D" w:rsidRDefault="00ED561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146E7C" w14:textId="77777777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电子废水深度除氟技术研究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2BC4F537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5E4F62D" w14:textId="3032BBC3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C7469D" w14:paraId="100B77E8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E0002CB" w14:textId="142E3AB1" w:rsidR="00C7469D" w:rsidRDefault="00ED561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某污水处理厂日设计水量：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；日实际处理水量约：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vertAlign w:val="superscript"/>
              </w:rPr>
              <w:t>3</w:t>
            </w:r>
            <w:r w:rsidR="00C677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。该厂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双膜工艺排放的浓水氟化物浓度：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20mg/L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；氟化物排放标准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10mg/L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；氟化物实际出水浓度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="00C67744">
              <w:rPr>
                <w:rFonts w:ascii="Times New Roman" w:eastAsia="仿宋_GB2312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9mg/L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；处理工艺：加药反应池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澄清池；药剂种类：石灰、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255B1D11" w14:textId="16EBA9E2" w:rsidR="00C67744" w:rsidRDefault="00ED5619" w:rsidP="00192B77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其中含酸污水需在反应池添加碱</w:t>
            </w:r>
            <w:r w:rsidR="00C677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液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进行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的调节；污水采用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序批式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工艺处理后进入含氟污水反应池进行后续处理</w:t>
            </w:r>
            <w:r w:rsidR="00C677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  <w:r w:rsidR="00C677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段主要为去除总氮及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COD</w:t>
            </w:r>
            <w:r w:rsidR="00C677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由于该类污水</w:t>
            </w:r>
            <w:r w:rsidR="00C6774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生化性差，需投加磷酸钠及醋酸作为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磷源及碳源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；含氟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反应池投加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石灰乳对氟离子进行沉淀去除，采用折点加氯法去除氨氮，并投加碱</w:t>
            </w:r>
            <w:r w:rsidR="00C67744">
              <w:rPr>
                <w:rFonts w:ascii="Times New Roman" w:eastAsia="仿宋_GB2312" w:hAnsi="Times New Roman" w:cs="Times New Roman"/>
                <w:sz w:val="24"/>
                <w:szCs w:val="24"/>
              </w:rPr>
              <w:t>液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调节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；含氟污水还需进入碳滤池进行除氯。</w:t>
            </w:r>
          </w:p>
          <w:p w14:paraId="2177E7FC" w14:textId="0F015F25" w:rsidR="00C7469D" w:rsidRDefault="00ED5619" w:rsidP="00E8495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该厂共设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个膜车间，采用压力式超滤膜，品牌为瑞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尔；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RO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膜品牌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有海德能、陶氏及东丽。</w:t>
            </w:r>
          </w:p>
        </w:tc>
      </w:tr>
      <w:tr w:rsidR="00C7469D" w14:paraId="5EEDB9A8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303AC17" w14:textId="274A231F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31456758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0F850EC" w14:textId="63817A8E" w:rsidR="00C7469D" w:rsidRDefault="00ED5619" w:rsidP="00E8495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水厂浓水处理工艺进水氟化物浓度为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20mg/L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COD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、氨氮和总氮满足排放标准，目前通过投加石灰、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等，能满足氟离子排放浓度不超过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10mg/L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的要求，但根据《</w:t>
            </w:r>
            <w:r w:rsidR="00192B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地表水氟化物污染治理工作方案（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年）》的通知，氟化物排放浓度需进一步降低至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3mg/L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，目前工艺难以满足要求。</w:t>
            </w:r>
            <w:r w:rsidR="00E84959" w:rsidRP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开展区别于现有工艺的含氟废水的深度处理技术研究，减少污泥产生量，同时考虑</w:t>
            </w:r>
            <w:proofErr w:type="gramStart"/>
            <w:r w:rsidR="00E84959" w:rsidRP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氟处理</w:t>
            </w:r>
            <w:proofErr w:type="gramEnd"/>
            <w:r w:rsidR="00E84959" w:rsidRP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的经济性，将双膜工艺排放的浓水氟化物浓度由</w:t>
            </w:r>
            <w:r w:rsidR="00E84959" w:rsidRPr="00E84959">
              <w:rPr>
                <w:rFonts w:ascii="Times New Roman" w:eastAsia="仿宋_GB2312" w:hAnsi="Times New Roman" w:cs="Times New Roman"/>
                <w:sz w:val="24"/>
                <w:szCs w:val="24"/>
              </w:rPr>
              <w:t>20mg/L</w:t>
            </w:r>
            <w:r w:rsidR="00E84959" w:rsidRPr="00E84959">
              <w:rPr>
                <w:rFonts w:ascii="Times New Roman" w:eastAsia="仿宋_GB2312" w:hAnsi="Times New Roman" w:cs="Times New Roman"/>
                <w:sz w:val="24"/>
                <w:szCs w:val="24"/>
              </w:rPr>
              <w:t>降至</w:t>
            </w:r>
            <w:r w:rsidR="00E84959" w:rsidRPr="00E84959">
              <w:rPr>
                <w:rFonts w:ascii="Times New Roman" w:eastAsia="仿宋_GB2312" w:hAnsi="Times New Roman" w:cs="Times New Roman"/>
                <w:sz w:val="24"/>
                <w:szCs w:val="24"/>
              </w:rPr>
              <w:t>3mg/L</w:t>
            </w:r>
            <w:r w:rsidR="00E84959" w:rsidRPr="00E84959">
              <w:rPr>
                <w:rFonts w:ascii="Times New Roman" w:eastAsia="仿宋_GB2312" w:hAnsi="Times New Roman" w:cs="Times New Roman"/>
                <w:sz w:val="24"/>
                <w:szCs w:val="24"/>
              </w:rPr>
              <w:t>，且具有最佳经济性。</w:t>
            </w:r>
          </w:p>
        </w:tc>
      </w:tr>
      <w:tr w:rsidR="00C7469D" w14:paraId="155DA7F0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E9A6D3D" w14:textId="1E55C90A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67F86A27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5004F72" w14:textId="6F709CDB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结合现有的提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标改造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项目，</w:t>
            </w:r>
            <w:r w:rsidR="00C9566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现场开展</w:t>
            </w:r>
            <w:r w:rsidR="0086597A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</w:t>
            </w:r>
            <w:r w:rsidR="0086597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</w:t>
            </w:r>
            <w:r w:rsidR="00C9566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/</w:t>
            </w:r>
            <w:r w:rsidR="0086597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h</w:t>
            </w:r>
            <w:r w:rsidR="00C9566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规模的中试，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将氟化物浓度从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稳定降到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以下；</w:t>
            </w:r>
          </w:p>
          <w:p w14:paraId="37F4972A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吨水直接运行成本控制在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元以内，并提供项目综合投资测算；</w:t>
            </w:r>
          </w:p>
          <w:p w14:paraId="3D57FC6D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电子废水双膜工艺浓水处理新工艺应用可行性研究报告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；</w:t>
            </w:r>
          </w:p>
          <w:p w14:paraId="737BB717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6C2BD0DC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发表中英文论文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篇。</w:t>
            </w:r>
          </w:p>
        </w:tc>
      </w:tr>
      <w:tr w:rsidR="00C7469D" w14:paraId="5654799A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00D391A" w14:textId="3417DC8B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2F01C76D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1C9FD03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）完成过类似工程案例和具有相关专利技术优先；</w:t>
            </w:r>
          </w:p>
          <w:p w14:paraId="3CFC1D6E" w14:textId="13208CC1" w:rsidR="00C7469D" w:rsidRDefault="00ED5619" w:rsidP="00C9566A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）有</w:t>
            </w:r>
            <w:r w:rsidR="00C9566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含氟废水处理业绩的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配套合作企业优先。</w:t>
            </w:r>
          </w:p>
        </w:tc>
      </w:tr>
      <w:tr w:rsidR="00C7469D" w14:paraId="795E3F3D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24C6F7F" w14:textId="6E25961E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1A1D6243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FACFAC7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160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2427D03F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44F6021" w14:textId="0EC2C0DC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33B1E110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66CB6E9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栾成钰：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19845665507</w:t>
            </w:r>
          </w:p>
        </w:tc>
      </w:tr>
    </w:tbl>
    <w:p w14:paraId="4A13E32D" w14:textId="77777777" w:rsidR="00192B77" w:rsidRPr="00192B77" w:rsidRDefault="00192B77" w:rsidP="00192B77"/>
    <w:p w14:paraId="77FF104F" w14:textId="77777777" w:rsidR="00192B77" w:rsidRDefault="00192B77">
      <w:pPr>
        <w:widowControl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0F21942C" w14:textId="77777777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基于声发射信号特征的供水管网漏点识别技术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078E803F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65F0D51" w14:textId="05E8C574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:rsidRPr="00685899" w14:paraId="1A7A08BD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3DB9B9B" w14:textId="1BF04A08" w:rsidR="001D6B30" w:rsidRDefault="009F5062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5062">
              <w:rPr>
                <w:rFonts w:ascii="Times New Roman" w:eastAsia="仿宋_GB2312" w:hAnsi="Times New Roman" w:cs="Times New Roman"/>
                <w:sz w:val="24"/>
                <w:szCs w:val="24"/>
              </w:rPr>
              <w:t>供水管网中的漏点一般是通过测听漏水点处产生的漏水噪声</w:t>
            </w:r>
            <w:r w:rsidR="00F9708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进行漏点识别，</w:t>
            </w:r>
            <w:r w:rsidRP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目前</w:t>
            </w:r>
            <w:r w:rsidRPr="00E555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用于实际管网漏损检测的</w:t>
            </w:r>
            <w:r w:rsidRP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声发射信号样本少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缺少归类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声发射信号难识别，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造成</w:t>
            </w:r>
            <w:r w:rsidR="00E55520" w:rsidRPr="00E555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管网漏损</w:t>
            </w:r>
            <w:r w:rsidR="001D6B30" w:rsidRP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识别技术</w:t>
            </w:r>
            <w:r w:rsidR="0041596C" w:rsidRPr="0041596C">
              <w:rPr>
                <w:rFonts w:ascii="Times New Roman" w:eastAsia="仿宋_GB2312" w:hAnsi="Times New Roman" w:cs="Times New Roman"/>
                <w:sz w:val="24"/>
                <w:szCs w:val="24"/>
              </w:rPr>
              <w:t>精度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41596C" w:rsidRPr="0041596C">
              <w:rPr>
                <w:rFonts w:ascii="Times New Roman" w:eastAsia="仿宋_GB2312" w:hAnsi="Times New Roman" w:cs="Times New Roman"/>
                <w:sz w:val="24"/>
                <w:szCs w:val="24"/>
              </w:rPr>
              <w:t>稳定性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 w:rsidR="0041596C" w:rsidRPr="0041596C">
              <w:rPr>
                <w:rFonts w:ascii="Times New Roman" w:eastAsia="仿宋_GB2312" w:hAnsi="Times New Roman" w:cs="Times New Roman"/>
                <w:sz w:val="24"/>
                <w:szCs w:val="24"/>
              </w:rPr>
              <w:t>漏点识别效率</w:t>
            </w:r>
            <w:r w:rsidR="0041596C" w:rsidRPr="0041596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低，</w:t>
            </w:r>
            <w:r w:rsidR="0041596C" w:rsidRPr="0041596C">
              <w:rPr>
                <w:rFonts w:ascii="Times New Roman" w:eastAsia="仿宋_GB2312" w:hAnsi="Times New Roman" w:cs="Times New Roman"/>
                <w:sz w:val="24"/>
                <w:szCs w:val="24"/>
              </w:rPr>
              <w:t>漏失数据处理方法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也</w:t>
            </w:r>
            <w:r w:rsidR="0041596C" w:rsidRPr="0041596C">
              <w:rPr>
                <w:rFonts w:ascii="Times New Roman" w:eastAsia="仿宋_GB2312" w:hAnsi="Times New Roman" w:cs="Times New Roman"/>
                <w:sz w:val="24"/>
                <w:szCs w:val="24"/>
              </w:rPr>
              <w:t>没有形成一套完整的体系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E555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无法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高效、</w:t>
            </w:r>
            <w:r w:rsidR="00E555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准确识别管网漏点</w:t>
            </w:r>
            <w:r w:rsidR="001D6B30" w:rsidRP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5DDDA118" w14:textId="220FD142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月，住房和城乡建设部办公厅、国家发展改革委办公厅发布</w:t>
            </w:r>
            <w:r w:rsidR="00210F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的《</w:t>
            </w:r>
            <w:r w:rsidR="00210F25">
              <w:rPr>
                <w:rFonts w:ascii="Times New Roman" w:eastAsia="仿宋_GB2312" w:hAnsi="Times New Roman" w:cs="Times New Roman"/>
                <w:sz w:val="24"/>
                <w:szCs w:val="24"/>
              </w:rPr>
              <w:t>关于加强公共供水管网漏损控制的通知</w:t>
            </w:r>
            <w:r w:rsidR="00210F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要求</w:t>
            </w:r>
            <w:r w:rsidR="00210F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年，全国城市公共供水管网漏损率力争控制在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以内。</w:t>
            </w:r>
            <w:r w:rsidR="00210F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因此，通过研究新型供水管网漏点识别技术，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提高漏点识别准确率</w:t>
            </w:r>
            <w:r w:rsidR="00210F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，有效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降低漏损率</w:t>
            </w:r>
            <w:r w:rsidR="0068589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D81389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对于水资源节约及合理利用</w:t>
            </w:r>
            <w:r w:rsidR="00953252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具有</w:t>
            </w:r>
            <w:r w:rsidR="00D81389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</w:t>
            </w:r>
            <w:r w:rsidR="00BC34FC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大价值</w:t>
            </w:r>
            <w:r w:rsidR="00685899" w:rsidRPr="009532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7469D" w14:paraId="6A41FEA0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6ADF2A1" w14:textId="3B667436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0AB6486B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0B06212" w14:textId="77777777" w:rsidR="008137CB" w:rsidRDefault="008137CB" w:rsidP="0048635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研发供水管网漏点声发射信号的自动频带划分和频率跟踪技术；</w:t>
            </w:r>
          </w:p>
          <w:p w14:paraId="1A5A0674" w14:textId="10F0B272" w:rsidR="00C7469D" w:rsidRDefault="008137CB" w:rsidP="0048635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构建供水管网漏点声发射信号识别算法，通过机器学习或深度学习建立漏点的识别模型。</w:t>
            </w:r>
          </w:p>
        </w:tc>
      </w:tr>
      <w:tr w:rsidR="00C7469D" w14:paraId="6B10FF14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E04D94C" w14:textId="2B0C5F01" w:rsidR="00C7469D" w:rsidRDefault="008428F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246732AC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61688E2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提供基于声发射信号特征的城市管网漏点识别系统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套：辨识软件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套，其中检测主机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台、漏点检测传感器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个，设备检测精度不低于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95%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，主机的辨识软件包括</w:t>
            </w:r>
            <w:r w:rsidR="00192B7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泄漏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诊断、</w:t>
            </w:r>
            <w:r w:rsidR="00192B7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泄漏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噪声的图形和数值显示；</w:t>
            </w:r>
          </w:p>
          <w:p w14:paraId="298E0378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提供供水管网漏点声发射信号样本数据集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套；</w:t>
            </w:r>
          </w:p>
          <w:p w14:paraId="4827E35E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设计的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供水管网漏点识别技术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应用于示范应用点，实现应用范围内管道泄漏点的准确定位，从而实现供水管网运营成本的节约；</w:t>
            </w:r>
          </w:p>
          <w:p w14:paraId="3D4A5FA5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69441641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7416A93B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发表中英文论文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篇。</w:t>
            </w:r>
          </w:p>
        </w:tc>
      </w:tr>
      <w:tr w:rsidR="00C7469D" w14:paraId="44B53C23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60FBC3D" w14:textId="1F431C0E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1EE01570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7D0EB98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）须具有供水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管网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漏点识别技术的研发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经验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。</w:t>
            </w:r>
          </w:p>
          <w:p w14:paraId="24EB211A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）须具有声发射检测的相关研发项目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项以上。</w:t>
            </w:r>
          </w:p>
          <w:p w14:paraId="6B61B816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）须具有检测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、测试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类的研发项目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项以上。</w:t>
            </w:r>
          </w:p>
        </w:tc>
      </w:tr>
      <w:tr w:rsidR="00C7469D" w14:paraId="2DAE256A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5A31D77" w14:textId="2DD18844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3FF4DE3B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CDE1C6B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145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4CEDD883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FFE6177" w14:textId="602E4031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71903B8A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B9801F7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邱颉：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13244622667</w:t>
            </w:r>
          </w:p>
        </w:tc>
      </w:tr>
    </w:tbl>
    <w:p w14:paraId="45492308" w14:textId="77777777" w:rsidR="00C7469D" w:rsidRDefault="00C7469D">
      <w:pPr>
        <w:rPr>
          <w:rFonts w:ascii="Times New Roman" w:hAnsi="Times New Roman" w:cs="Times New Roman"/>
        </w:rPr>
      </w:pPr>
    </w:p>
    <w:p w14:paraId="21D1B42A" w14:textId="77777777" w:rsidR="00C7469D" w:rsidRDefault="00ED561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F962F6" w14:textId="77777777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原水锰浓度</w:t>
      </w:r>
      <w:proofErr w:type="gramEnd"/>
      <w:r>
        <w:rPr>
          <w:rFonts w:ascii="Times New Roman" w:hAnsi="Times New Roman" w:cs="Times New Roman"/>
        </w:rPr>
        <w:t>调控及管网清洗技术研究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700A145D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F07F9E0" w14:textId="61AF0C3C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14:paraId="4399F6E8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3D379ED" w14:textId="16553235" w:rsidR="00D138AE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某</w:t>
            </w:r>
            <w:r w:rsidR="009A6DF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水厂设计规模为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，实际供水量为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9.3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/d</w:t>
            </w:r>
            <w:r w:rsidR="00C7467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采用水库水作为水源，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工艺流程为</w:t>
            </w:r>
            <w:r w:rsidR="00D13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8659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网格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絮凝反应池、平流沉淀池、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双阀滤池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、清水池、送水泵房</w:t>
            </w:r>
            <w:r w:rsidR="00D138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4DBC15B7" w14:textId="5D73D0E7" w:rsidR="00C7469D" w:rsidRDefault="00D138AE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该厂主要存在的问题有：（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原水</w:t>
            </w:r>
            <w:proofErr w:type="gramStart"/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取水处锰含量</w:t>
            </w:r>
            <w:proofErr w:type="gramEnd"/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较高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，尤其是恶劣天气条件下，</w:t>
            </w:r>
            <w:proofErr w:type="gramStart"/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原水锰超</w:t>
            </w:r>
            <w:proofErr w:type="gramEnd"/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标超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倍</w:t>
            </w:r>
            <w:r w:rsidR="008659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以上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proofErr w:type="gramStart"/>
            <w:r w:rsidR="008659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滤后</w:t>
            </w:r>
            <w:proofErr w:type="gramEnd"/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水超标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E849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倍以上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运营过程中，管网水质出现阶段性发黄。</w:t>
            </w:r>
          </w:p>
        </w:tc>
      </w:tr>
      <w:tr w:rsidR="00C7469D" w14:paraId="52D6BF84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4A1EB91" w14:textId="61F0CB87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5789B075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37DFA61" w14:textId="0D8B6EFF" w:rsidR="00C7469D" w:rsidRDefault="008137CB" w:rsidP="008F5B4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构建针对</w:t>
            </w:r>
            <w:r w:rsidR="00E51B6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</w:t>
            </w:r>
            <w:r w:rsidR="006556D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南某水厂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含锰水源水的</w:t>
            </w:r>
            <w:proofErr w:type="gramStart"/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深度除锰工艺</w:t>
            </w:r>
            <w:proofErr w:type="gramEnd"/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，提升水厂的锰去除率，降低出厂水中锰的极限浓度，减少残余锰在管网中的沉积量；</w:t>
            </w:r>
          </w:p>
          <w:p w14:paraId="62FB2364" w14:textId="0C29434A" w:rsidR="00C7469D" w:rsidRDefault="008137CB" w:rsidP="006556D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指导水厂选用合适的管网清洗技术，并在设备投入</w:t>
            </w:r>
            <w:r w:rsidR="006556D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成本</w:t>
            </w:r>
            <w:r w:rsidR="00ED561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和运行成本最低的前提下，提供详细技改方案，提升管网水质安全，保障管网末梢水水质符合国家、地区、行业等各类标准要求。</w:t>
            </w:r>
          </w:p>
        </w:tc>
      </w:tr>
      <w:tr w:rsidR="00C7469D" w14:paraId="2BAEF524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8435F61" w14:textId="2CD8115E" w:rsidR="00C7469D" w:rsidRDefault="008428F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6BFB470B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1FF24F1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 w:rsidR="00192B7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提出</w:t>
            </w:r>
            <w:r w:rsidR="00192B77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适合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海南某水厂的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深度除锰技术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，并形成解决方案书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64391A99" w14:textId="5C397241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开发针对管壁锰的原位清洗成套技术</w:t>
            </w:r>
            <w:r w:rsidR="006556D4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并</w:t>
            </w:r>
            <w:r w:rsidR="006556D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编制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方案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；</w:t>
            </w:r>
          </w:p>
          <w:p w14:paraId="7DBE52E5" w14:textId="4E9A2F0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 w:rsidR="00A6379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研制</w:t>
            </w:r>
            <w:r w:rsidR="00A6379A" w:rsidRPr="00A6379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针对含锰水源水</w:t>
            </w:r>
            <w:proofErr w:type="gramStart"/>
            <w:r w:rsidR="00A6379A" w:rsidRPr="00A6379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深度除锰的</w:t>
            </w:r>
            <w:proofErr w:type="gramEnd"/>
            <w:r w:rsidR="00A6379A" w:rsidRPr="00A6379A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中试设备一套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，中试出水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锰稳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定低于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0.08mg/L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，去除率较常规技术提升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以上；</w:t>
            </w:r>
          </w:p>
          <w:p w14:paraId="097F09F0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发表中英文论文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篇；</w:t>
            </w:r>
          </w:p>
          <w:p w14:paraId="69AD01A5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2D24FF65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7F66811B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申请省部级奖项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项（通过形式审查）；</w:t>
            </w:r>
          </w:p>
          <w:p w14:paraId="1A73EA96" w14:textId="478395AE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编国家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行</w:t>
            </w:r>
            <w:r w:rsidRPr="001D6B3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业</w:t>
            </w:r>
            <w:r w:rsidR="00760D8B" w:rsidRPr="001D6B3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/</w:t>
            </w:r>
            <w:r w:rsidR="00760D8B" w:rsidRPr="001D6B3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团体</w:t>
            </w:r>
            <w:r w:rsidRPr="001D6B3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准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项（标准通过立项）。</w:t>
            </w:r>
          </w:p>
        </w:tc>
      </w:tr>
      <w:tr w:rsidR="00C7469D" w14:paraId="5F36B511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1E166EF" w14:textId="1CF3C051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69C33199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0CD29A3" w14:textId="77777777" w:rsidR="00C7469D" w:rsidRDefault="00ED5619" w:rsidP="008F5B4E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团队在水处理行业应有相关领域的研究成果，拥有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年以上的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除锰科研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与工程经历，</w:t>
            </w:r>
            <w:bookmarkStart w:id="1" w:name="_Hlk135947307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主持过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除锰相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关的国家级项目、课题或任务</w:t>
            </w:r>
            <w:bookmarkEnd w:id="1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，并具有丰富的自来水处理厂设计、工艺调试经验。</w:t>
            </w:r>
          </w:p>
        </w:tc>
      </w:tr>
      <w:tr w:rsidR="00C7469D" w14:paraId="7C6515C6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0529D31" w14:textId="7F80C055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42A337D2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D0136E1" w14:textId="77777777" w:rsidR="00C7469D" w:rsidRDefault="00ED5619" w:rsidP="008F5B4E">
            <w:pPr>
              <w:ind w:firstLin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190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67C2AC0C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AA14437" w14:textId="5C625A74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254F3D1E" w14:textId="77777777" w:rsidTr="008F5B4E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24F3FCC" w14:textId="77777777" w:rsidR="00C7469D" w:rsidRDefault="00ED5619" w:rsidP="008F5B4E">
            <w:pPr>
              <w:ind w:firstLine="20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栾成钰：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19845665507</w:t>
            </w:r>
          </w:p>
        </w:tc>
      </w:tr>
    </w:tbl>
    <w:p w14:paraId="6BE870BA" w14:textId="77777777" w:rsidR="00C7469D" w:rsidRDefault="00ED5619">
      <w:pPr>
        <w:widowControl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4F397EB0" w14:textId="77777777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智能絮凝投药系统技术研究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7EFD993B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120B648" w14:textId="17556BD2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14:paraId="67B98F0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959841D" w14:textId="40136748" w:rsidR="00927125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某自来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水厂设计生产规模为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工艺流程为：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原水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吸水井</w:t>
            </w:r>
            <w:r w:rsidR="001D6B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次氯酸钠前投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</w:t>
            </w:r>
            <w:r w:rsidR="001D6B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取水泵</w:t>
            </w:r>
            <w:r w:rsidR="001D6B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房（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进水管投加聚合碱式铝</w:t>
            </w:r>
            <w:r w:rsidR="001D6B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絮凝池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斜管沉淀池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proofErr w:type="gramStart"/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均粒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滤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池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次氯酸钠消毒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清水池</w:t>
            </w:r>
            <w:r w:rsidR="001D6B30"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管网。</w:t>
            </w:r>
          </w:p>
          <w:p w14:paraId="61EC6BA9" w14:textId="609B47F7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制水工艺采用常规地表水处理工艺，主要流程分为三套系统：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系统：栅条絮凝池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斜管沉淀池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均粒滤池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系统：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竖流折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板絮凝池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斜管沉淀池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均粒滤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池；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系统：机械搅拌絮凝池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斜管沉淀池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→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双阀滤池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。其中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 w:rsidR="00927125"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 w:rsidR="00927125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</w:t>
            </w:r>
            <w:r w:rsidR="00927125">
              <w:rPr>
                <w:rFonts w:ascii="Times New Roman" w:eastAsia="仿宋_GB2312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系统的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竖流折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板絮凝池，共有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座，每座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组，每组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格，每格规格（长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水深）：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7.0m×1.7m×4.2m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，并沿水流方向逐渐增加折板间距，水流通过格子中的折板上下流动，再汇集到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反应池配水槽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。絮凝剂采用碱式氯化铝。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45EB1CB8" w14:textId="52E47BF8" w:rsidR="00C7469D" w:rsidRDefault="00ED5619" w:rsidP="00AD4570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水厂</w:t>
            </w:r>
            <w:r w:rsidR="000348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年代初期，设计时出水浊度控制在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度以内，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构筑物、管路设计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不合理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 w:rsidR="00927125"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 w:rsidR="00927125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</w:t>
            </w:r>
            <w:r w:rsidR="00927125">
              <w:rPr>
                <w:rFonts w:ascii="Times New Roman" w:eastAsia="仿宋_GB2312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系统的反应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池组存在二</w:t>
            </w:r>
            <w:r w:rsidR="00AD457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池组进水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停留时间过短的情况，絮体易被破坏，混凝效果较差，尤其在水厂高负荷生产时问题更加</w:t>
            </w:r>
            <w:r w:rsidR="009271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严重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7469D" w14:paraId="105C4562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4B073EE" w14:textId="000AF76D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2DE4718E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EDE84DD" w14:textId="2E38F33F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实现水处理颗粒物形态特征在线检测识别，可对絮凝、沉淀等水处理过程颗粒物质的</w:t>
            </w:r>
            <w:r w:rsidR="00A6379A" w:rsidRPr="00A63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微观形态特征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进行追踪检测；</w:t>
            </w:r>
          </w:p>
          <w:p w14:paraId="799BD7F7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揭示影响絮凝沉淀效果的本质因素，将颗粒形态指数作为指导絮凝剂投加的有效指标，为</w:t>
            </w:r>
            <w:r w:rsidR="0009034B">
              <w:rPr>
                <w:rFonts w:ascii="Times New Roman" w:eastAsia="仿宋_GB2312" w:hAnsi="Times New Roman" w:cs="Times New Roman"/>
                <w:sz w:val="24"/>
                <w:szCs w:val="24"/>
              </w:rPr>
              <w:t>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领域理论研究提供全新的观念、手段；</w:t>
            </w:r>
          </w:p>
          <w:p w14:paraId="6AB91C15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结合非线性离散元预估模型对水处理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颗粒物微界面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反应水质转化过程进行有效控制，实现混凝沉淀过程的精准调控；</w:t>
            </w:r>
          </w:p>
          <w:p w14:paraId="5A774D7C" w14:textId="679F3989" w:rsidR="00C7469D" w:rsidRDefault="00ED5619" w:rsidP="00A6379A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研发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出结合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多元水质反应过程监控、药剂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自动溶配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和颗粒物形态调控技术为一体的城市</w:t>
            </w:r>
            <w:r w:rsidR="00B172D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自来</w:t>
            </w:r>
            <w:r w:rsidR="00A6379A">
              <w:rPr>
                <w:rFonts w:ascii="Times New Roman" w:eastAsia="仿宋_GB2312" w:hAnsi="Times New Roman" w:cs="Times New Roman"/>
                <w:sz w:val="24"/>
                <w:szCs w:val="24"/>
              </w:rPr>
              <w:t>水处理厂絮凝沉淀过程智能复合控制系统</w:t>
            </w:r>
            <w:r w:rsidR="00A63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，并进行</w:t>
            </w:r>
            <w:r w:rsidR="00A6379A">
              <w:rPr>
                <w:rFonts w:ascii="Times New Roman" w:eastAsia="仿宋_GB2312" w:hAnsi="Times New Roman" w:cs="Times New Roman"/>
                <w:sz w:val="24"/>
                <w:szCs w:val="24"/>
              </w:rPr>
              <w:t>技术方案</w:t>
            </w:r>
            <w:r w:rsidR="00A63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论证。</w:t>
            </w:r>
          </w:p>
        </w:tc>
      </w:tr>
      <w:tr w:rsidR="00C7469D" w14:paraId="01B51101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FE51074" w14:textId="57D6BF10" w:rsidR="00C7469D" w:rsidRDefault="008428F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7792DF8A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A5A0531" w14:textId="1592D2B9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形</w:t>
            </w:r>
            <w:r w:rsidR="007E4FB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能絮凝技术示范方案及相关技术报告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0A85FAA1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项，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50ECA417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发表中英文论文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篇；</w:t>
            </w:r>
          </w:p>
          <w:p w14:paraId="215FE9A3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开发成套调控设备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套，具有运行稳定可靠、调控精度高、操作简单方便等特征，使水厂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节药率不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低于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10%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，对混凝沉淀过程稳态控制精度可达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0.5%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滤前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水浊度指标控制在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2±0.5NTU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滤后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水浊度达到内控指标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0.3NTU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，水厂吨水成本不增加。</w:t>
            </w:r>
          </w:p>
        </w:tc>
      </w:tr>
      <w:tr w:rsidR="00C7469D" w14:paraId="24F9263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8969C5B" w14:textId="12A7F2C4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505A9365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53B55E3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申请团队在供水技术相关领域已有相关研究成果，并具有丰富的净水处理厂设计、工艺调试经验。</w:t>
            </w:r>
          </w:p>
        </w:tc>
      </w:tr>
      <w:tr w:rsidR="00C7469D" w14:paraId="4054F330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DD570CB" w14:textId="2BF2E6F9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71F5E125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602514E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160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0E253C5B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0CB310C" w14:textId="3EE2391D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37FEEA7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5891BDE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王琦：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15945692616</w:t>
            </w:r>
          </w:p>
        </w:tc>
      </w:tr>
    </w:tbl>
    <w:p w14:paraId="68B720A1" w14:textId="08B092CC" w:rsidR="00F213B5" w:rsidRDefault="00F213B5" w:rsidP="001D6B30"/>
    <w:p w14:paraId="78FC45B1" w14:textId="77777777" w:rsidR="00F213B5" w:rsidRDefault="00F213B5">
      <w:pPr>
        <w:widowControl/>
        <w:jc w:val="left"/>
      </w:pPr>
      <w:r>
        <w:br w:type="page"/>
      </w:r>
    </w:p>
    <w:p w14:paraId="49753B5B" w14:textId="546BB2D4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基于陶瓷膜预处理的海水淡化系统集成研究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21DE73B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4559268" w14:textId="440040D3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14:paraId="29A7DC2C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E0984A6" w14:textId="3ED83202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海水淡化能提供稳定优质的增量水源，是解决沿海地区水资源短缺</w:t>
            </w:r>
            <w:r w:rsidR="005A3D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的重要途径，对于保障国家水安全、保护水环境和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维护水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生态具有重要意义。</w:t>
            </w:r>
          </w:p>
          <w:p w14:paraId="7E32C059" w14:textId="2C26E5C5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国家多项规划已将海水淡化列为重要内容，其中：《国务院关于加快建立健全绿色低碳循环发展经济体系的指导意见》提出，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在沿海缺水城市推动大型海水淡化设施建设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="005A3D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十四五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项目立项依据节水型社会建设规划》提出，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要加强非常规水源配置、推进污水资源化利用、加强雨水集蓄利用、扩大海水淡化水利用规模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="005A3D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《中共中央国务院关于深入打好污染防治攻坚战的意见》在加快推动绿色低碳发展方面，明确提出推进污水资源化利用和海水淡化规模化利用。</w:t>
            </w:r>
          </w:p>
          <w:p w14:paraId="7C0A13D5" w14:textId="77777777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为贯彻落实国家相关规划，推进海水淡化规模化应用，破解海水淡化发展中存在的瓶颈问题，亟需开展海水淡化技术及一体化设备的研究。</w:t>
            </w:r>
          </w:p>
        </w:tc>
      </w:tr>
      <w:tr w:rsidR="00C7469D" w14:paraId="1A73B6BE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7B65F53" w14:textId="2B313DE0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391BA4F1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0E92CC8" w14:textId="6B498384" w:rsidR="00C7469D" w:rsidRDefault="00ED5619" w:rsidP="005A3D0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海水淡化工艺的优化设计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：设计制作海水淡化全流程一体化设备，对其海水淡化过程中的污染物去除效果及操作条件进行优化；</w:t>
            </w:r>
          </w:p>
          <w:p w14:paraId="0E7EFF7A" w14:textId="00E76724" w:rsidR="00C7469D" w:rsidRDefault="00ED5619" w:rsidP="007E4FB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开展海水淡化工艺集成分析：围绕膜法海水淡化规模化应用亟需攻克的关键技术和装备，系统地开展膜法海水淡化关键技术、核心设备与部件、系统集成等研究，</w:t>
            </w:r>
            <w:r w:rsidR="007E4FB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膜法海水淡化工艺集成分析报告及系统集成技术等成果。</w:t>
            </w:r>
          </w:p>
        </w:tc>
      </w:tr>
      <w:tr w:rsidR="00C7469D" w14:paraId="5982C21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4937F2C" w14:textId="3715ED6D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考核指标</w:t>
            </w:r>
          </w:p>
        </w:tc>
      </w:tr>
      <w:tr w:rsidR="00C7469D" w14:paraId="46243D6C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85C664A" w14:textId="0367AE23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研发海水淡化全流程一体化装备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套，产水能力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30m³/d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，设备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脱盐率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不低于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99%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，进水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TDS≤35000mg/L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，出水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TDS≤200mg/L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，能耗不高于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4.5kW</w:t>
            </w:r>
            <w:r w:rsidR="005A3D0C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h/t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；预处理系统出水水质</w:t>
            </w:r>
            <w:r w:rsidR="007E4FB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浊度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不高于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0.1NTU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SDI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值小于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，反洗周期不低于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次；反渗透系统产水量年平均衰减率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≤5%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脱盐率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年平均衰减率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≤0.1%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；</w:t>
            </w:r>
          </w:p>
          <w:p w14:paraId="5BCCE35F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5E3BA015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30792709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发表中英文论文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；</w:t>
            </w:r>
          </w:p>
          <w:p w14:paraId="32DB6334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申请省部级奖项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项（通过形式审查）；</w:t>
            </w:r>
          </w:p>
          <w:p w14:paraId="2579A10D" w14:textId="246B3874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编国家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行业</w:t>
            </w:r>
            <w:r w:rsidR="00760D8B" w:rsidRPr="001D6B3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/</w:t>
            </w:r>
            <w:r w:rsidR="00760D8B" w:rsidRPr="001D6B3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团体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标准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项（标准通过立项）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C7469D" w14:paraId="1C829CA7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7553FEF" w14:textId="6B461E00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45C7E35B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9C06AA3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申请团队在海水淡化技术相关领域已有相关研究成果，并具有丰富的设计、工艺调试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及撬装式设备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开发经验。</w:t>
            </w:r>
          </w:p>
        </w:tc>
      </w:tr>
      <w:tr w:rsidR="00C7469D" w14:paraId="191DEE7E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069E25E" w14:textId="58F06862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099B5FA6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C53100C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190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140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2D6A80D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8B11B21" w14:textId="66FEB09E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61911944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9DD1590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王琦：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15945692616</w:t>
            </w:r>
          </w:p>
        </w:tc>
      </w:tr>
    </w:tbl>
    <w:p w14:paraId="6AA04EC4" w14:textId="77777777" w:rsidR="008428F8" w:rsidRPr="008428F8" w:rsidRDefault="008428F8" w:rsidP="008428F8"/>
    <w:p w14:paraId="6B42E03C" w14:textId="77777777" w:rsidR="008428F8" w:rsidRDefault="008428F8">
      <w:pPr>
        <w:widowControl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</w:p>
    <w:p w14:paraId="16832B62" w14:textId="7B684C45" w:rsidR="00C7469D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水</w:t>
      </w:r>
      <w:proofErr w:type="gramStart"/>
      <w:r>
        <w:rPr>
          <w:rFonts w:ascii="Times New Roman" w:hAnsi="Times New Roman" w:cs="Times New Roman"/>
        </w:rPr>
        <w:t>务</w:t>
      </w:r>
      <w:proofErr w:type="gramEnd"/>
      <w:r>
        <w:rPr>
          <w:rFonts w:ascii="Times New Roman" w:hAnsi="Times New Roman" w:cs="Times New Roman"/>
        </w:rPr>
        <w:t>企业数字化转型规划研究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1936E87B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440BF15A" w14:textId="69EDCFE6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14:paraId="059A62AA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A8187E7" w14:textId="77777777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粤海水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是广东粤海控股集团有限公司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旗下集原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水供应、自来水经营、污水处理、水环境综合治理、清洁能源、科技研发等多种业务于一体的全产业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链大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型综合水务企业，在全国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个省级行政区投资运营水务项目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个，水处理规模逾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5700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日，综合水处理规模位居全国第一。</w:t>
            </w:r>
          </w:p>
          <w:p w14:paraId="0647A53A" w14:textId="77777777" w:rsidR="00C7469D" w:rsidRDefault="00ED5619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近年来，粤海水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持续推进水务信息化建设，在智慧生产、智慧管网、智慧服务和智慧管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控领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域自主研发了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余套专业信息系统并推广应用，提升了水务运营管控能力；同时也存在顶层规划不完善、信息基础设施薄弱等问题，需结合公司战略及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十四五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规划，系统性完善智慧水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顶层设计，助力企业快速发展。</w:t>
            </w:r>
          </w:p>
        </w:tc>
      </w:tr>
      <w:tr w:rsidR="00C7469D" w14:paraId="1EC076AA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EC7B6E7" w14:textId="21BA3F5E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42527E06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8951AD1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分析水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总部及下属公司数字化建设现状、存在的问题及困难；</w:t>
            </w:r>
          </w:p>
          <w:p w14:paraId="6B32B391" w14:textId="37E74C1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</w:t>
            </w:r>
            <w:r w:rsidR="007E4FB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借鉴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相关行业标杆企业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优秀实践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经验，结合实际需求，分析存在问题和主要差距；</w:t>
            </w:r>
          </w:p>
          <w:p w14:paraId="131FB43F" w14:textId="77777777" w:rsidR="00C7469D" w:rsidRDefault="00ED5619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基于国务院《数字中国建设整体布局规划》战略需求，围绕粤海水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现有主营业务及战略规划，制定数字化转型规划方案。</w:t>
            </w:r>
          </w:p>
        </w:tc>
      </w:tr>
      <w:tr w:rsidR="00C7469D" w14:paraId="73BC31FB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1B97B4D" w14:textId="0C57C892" w:rsidR="00C7469D" w:rsidRDefault="008428F8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571FEB8A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5D65183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完成《数字化建设调研分析报告》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5A01D4A6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完成《数字化转型对标分析报告》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份；</w:t>
            </w:r>
          </w:p>
          <w:p w14:paraId="1347B7C7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完成《企业数字化转型规划报告》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；</w:t>
            </w:r>
          </w:p>
          <w:p w14:paraId="41620E1B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69C40037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PCT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专利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1F493917" w14:textId="77996EE5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6.</w:t>
            </w:r>
            <w:r w:rsidR="00B7258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gramStart"/>
            <w:r w:rsidR="00B72583" w:rsidRPr="001D6B3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牵头团标</w:t>
            </w:r>
            <w:proofErr w:type="gramEnd"/>
            <w:r w:rsidR="00B7258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或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编国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家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行业标准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项（标准通过立项）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C7469D" w14:paraId="3FA7DCBB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E9BF235" w14:textId="3901D8AE" w:rsidR="00C7469D" w:rsidRDefault="008428F8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3378D97E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5CBC6FB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须具有主持水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行业智慧化建设项目成功案例经验；</w:t>
            </w:r>
          </w:p>
          <w:p w14:paraId="159D44E2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须具有开发水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行业数字化平台实施经验；</w:t>
            </w:r>
          </w:p>
          <w:p w14:paraId="4D684055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项目组中须有水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行业或电力业务专家及技术专家参与调研分析或规划设计。</w:t>
            </w:r>
          </w:p>
        </w:tc>
      </w:tr>
      <w:tr w:rsidR="00C7469D" w14:paraId="31B0494C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3E3C7DBB" w14:textId="7474086B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2C9EC392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2F8C4B2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175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万元，其中直接实施费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140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58AD45EE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61C188E3" w14:textId="1A4465B6" w:rsidR="00C7469D" w:rsidRDefault="008428F8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359A44AA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0A6090A8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邱颉：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13244622667</w:t>
            </w:r>
          </w:p>
        </w:tc>
      </w:tr>
    </w:tbl>
    <w:p w14:paraId="7A48FA1B" w14:textId="77777777" w:rsidR="00C7469D" w:rsidRDefault="00ED561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AFE188" w14:textId="77777777" w:rsidR="00C7469D" w:rsidRPr="00B172D3" w:rsidRDefault="00ED5619">
      <w:pPr>
        <w:pStyle w:val="2"/>
        <w:numPr>
          <w:ilvl w:val="0"/>
          <w:numId w:val="2"/>
        </w:numPr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lastRenderedPageBreak/>
        <w:t>城镇污泥及</w:t>
      </w:r>
      <w:proofErr w:type="gramStart"/>
      <w:r w:rsidRPr="00B172D3">
        <w:rPr>
          <w:rFonts w:ascii="Times New Roman" w:hAnsi="Times New Roman" w:cs="Times New Roman"/>
        </w:rPr>
        <w:t>有机固废</w:t>
      </w:r>
      <w:proofErr w:type="gramEnd"/>
      <w:r w:rsidRPr="00B172D3">
        <w:rPr>
          <w:rFonts w:ascii="Times New Roman" w:hAnsi="Times New Roman" w:cs="Times New Roman"/>
        </w:rPr>
        <w:t>低碳协同处理技术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C7469D" w14:paraId="563BEEE5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31776F9" w14:textId="307B0140" w:rsidR="00C7469D" w:rsidRDefault="008428F8" w:rsidP="00E11005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课题背景</w:t>
            </w:r>
          </w:p>
        </w:tc>
      </w:tr>
      <w:tr w:rsidR="00C7469D" w14:paraId="028CF39D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448A91F" w14:textId="5BBC6B21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随着城市</w:t>
            </w:r>
            <w:r w:rsidR="00235C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建设水平的提升和人居环境的改善，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废城市</w:t>
            </w:r>
            <w:proofErr w:type="gramEnd"/>
            <w:r w:rsidR="00235C7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的建设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越来越成为政府和环保部门关注的热点。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我国污水处理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系统及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垃圾收集转用系统建设</w:t>
            </w:r>
            <w:r w:rsidR="008659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完善，以城镇有机垃圾、城镇污泥为代表的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有机固废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产量不断增加。由于历史上对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有机固废处理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处置的投入不足、对低碳运行效能关注不够，造成了大量的资源能源浪费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温室气体逸散严重，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</w:t>
            </w:r>
            <w:proofErr w:type="gramStart"/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有机固</w:t>
            </w:r>
            <w:proofErr w:type="gramEnd"/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减量化、无害化及资源化成效不显著。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进入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470FA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世纪以后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，由于城市垃圾、污泥的不妥善处理处置造成了一系列严重的二次污染，对生态环境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居民身体健康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产生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了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巨大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的威胁。目前，我国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有机固废主要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处置方式包括堆肥、厌氧产甲烷、土地利用、卫生填埋等。其中，土地利用可以有效改变土壤的物理、化学和生物性状、提高土壤肥力，并且其成本低、能耗小，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实现资源再利用，是现阶段最适合我国基本国情的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有机固废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低碳处理处置方式，且具有广阔的应用前景。</w:t>
            </w:r>
          </w:p>
        </w:tc>
      </w:tr>
      <w:tr w:rsidR="00C7469D" w14:paraId="373076A9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46A9058" w14:textId="6C293423" w:rsidR="00C7469D" w:rsidRDefault="008428F8" w:rsidP="00E11005">
            <w:pPr>
              <w:ind w:left="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二、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揭榜需求</w:t>
            </w:r>
          </w:p>
        </w:tc>
      </w:tr>
      <w:tr w:rsidR="00C7469D" w14:paraId="6C12DA45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944F128" w14:textId="3FEB8255" w:rsidR="00C7469D" w:rsidRDefault="00470FA5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通过对剩余污泥与餐厨垃圾，剩余污泥与农业废弃物，以及剩余污泥，餐厨垃圾，与农业废弃物进行协同厌氧消化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分别设置不同底物配比条件，</w:t>
            </w:r>
            <w:r w:rsidR="009769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进行</w:t>
            </w:r>
            <w:proofErr w:type="gramStart"/>
            <w:r w:rsidR="009769E2">
              <w:rPr>
                <w:rFonts w:ascii="Times New Roman" w:eastAsia="仿宋_GB2312" w:hAnsi="Times New Roman" w:cs="Times New Roman"/>
                <w:sz w:val="24"/>
                <w:szCs w:val="24"/>
              </w:rPr>
              <w:t>有机固废共消化</w:t>
            </w:r>
            <w:proofErr w:type="gramEnd"/>
            <w:r w:rsidR="009769E2">
              <w:rPr>
                <w:rFonts w:ascii="Times New Roman" w:eastAsia="仿宋_GB2312" w:hAnsi="Times New Roman" w:cs="Times New Roman"/>
                <w:sz w:val="24"/>
                <w:szCs w:val="24"/>
              </w:rPr>
              <w:t>底物最佳配比探索与优化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44E47B79" w14:textId="1D4CF989" w:rsidR="00C7469D" w:rsidRDefault="00470FA5" w:rsidP="00E1100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9769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不同预处理方法、不同运行温度以及导电材料添加的情况下，共消化系统的产甲烷效能，并</w:t>
            </w:r>
            <w:r w:rsidR="007E4FB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根据</w:t>
            </w:r>
            <w:r w:rsidR="00ED5619">
              <w:rPr>
                <w:rFonts w:ascii="Times New Roman" w:eastAsia="仿宋_GB2312" w:hAnsi="Times New Roman" w:cs="Times New Roman"/>
                <w:sz w:val="24"/>
                <w:szCs w:val="24"/>
              </w:rPr>
              <w:t>水解动力学和产甲烷动力学拟合结果评估协同厌氧消化的运行情况，明确协同厌氧消化系统低碳优化运行的最佳条件，在此基础上开发相关设备。</w:t>
            </w:r>
          </w:p>
          <w:p w14:paraId="1C044D36" w14:textId="469395D6" w:rsidR="00C7469D" w:rsidRDefault="00ED5619" w:rsidP="007E4FB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共消化产物土地利用过程中重金属毒性特征和潜在风险控制</w:t>
            </w:r>
            <w:r w:rsidR="00470F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研究：</w:t>
            </w:r>
            <w:r w:rsidR="009769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通过实验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结</w:t>
            </w:r>
            <w:r w:rsidR="00E51B6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揭示生物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炭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固定重金属的机制，控制重金属地下水污染的最佳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生物炭投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加比例，根据风险评估结果，提出风险调控措施，进一步保障土地利用</w:t>
            </w:r>
            <w:r w:rsidR="007E4FB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安全性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7469D" w14:paraId="52A8AB81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A4C781D" w14:textId="51111C0E" w:rsidR="00C7469D" w:rsidRDefault="008428F8" w:rsidP="00E1100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考核指标</w:t>
            </w:r>
          </w:p>
        </w:tc>
      </w:tr>
      <w:tr w:rsidR="00C7469D" w14:paraId="40EA226D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BC84BD5" w14:textId="1FFCCCBA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 w:rsidR="007E4FB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剩余污泥、餐厨垃圾、农业废弃物共消化低碳协同处理技术方案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份：实现城镇污泥、有机固体废弃物资源化、减量化提高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，产甲烷效能提高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30%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；</w:t>
            </w:r>
          </w:p>
          <w:p w14:paraId="3E11E74C" w14:textId="779FAF5D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 w:rsidR="007E4FB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无害化污泥及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有机固废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土地利用风险防控技术方案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套：明确城镇污泥及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有机固废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土地利用重金属负荷与施用周期阈值，构建统一风险识别标准；</w:t>
            </w:r>
          </w:p>
          <w:p w14:paraId="4FE31BEF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申请发明专利不少于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项；</w:t>
            </w:r>
          </w:p>
          <w:p w14:paraId="56B38B0C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发表中英文论文不少于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篇。</w:t>
            </w:r>
          </w:p>
        </w:tc>
      </w:tr>
      <w:tr w:rsidR="00C7469D" w14:paraId="7B021AF5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71378BFB" w14:textId="02ED1C32" w:rsidR="00C7469D" w:rsidRDefault="008428F8" w:rsidP="00E11005">
            <w:pPr>
              <w:ind w:left="5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揭榜团队要求</w:t>
            </w:r>
          </w:p>
        </w:tc>
      </w:tr>
      <w:tr w:rsidR="00C7469D" w14:paraId="671511C1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1AD13619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申请团队在城镇污泥及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有机固废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技术相关领域已有相关研究成果，并具有丰富的技术经验。</w:t>
            </w:r>
          </w:p>
        </w:tc>
      </w:tr>
      <w:tr w:rsidR="00C7469D" w14:paraId="5CAFBE66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E570D8E" w14:textId="528FF345" w:rsidR="00C7469D" w:rsidRDefault="008428F8" w:rsidP="00E11005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五、</w:t>
            </w:r>
            <w:r w:rsidR="00ED561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课题实施金额</w:t>
            </w:r>
          </w:p>
        </w:tc>
      </w:tr>
      <w:tr w:rsidR="00C7469D" w14:paraId="6D9DD258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D2849A3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本课题总金额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186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万元。</w:t>
            </w:r>
          </w:p>
        </w:tc>
      </w:tr>
      <w:tr w:rsidR="00C7469D" w14:paraId="19ECD8D6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5A9B7BE5" w14:textId="6533293A" w:rsidR="00C7469D" w:rsidRDefault="008428F8" w:rsidP="00E11005">
            <w:pPr>
              <w:ind w:left="57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</w:t>
            </w:r>
            <w:r w:rsidR="00ED561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技术联系人</w:t>
            </w:r>
          </w:p>
        </w:tc>
      </w:tr>
      <w:tr w:rsidR="00C7469D" w14:paraId="7D5506E7" w14:textId="77777777" w:rsidTr="00E11005">
        <w:trPr>
          <w:trHeight w:val="510"/>
          <w:jc w:val="center"/>
        </w:trPr>
        <w:tc>
          <w:tcPr>
            <w:tcW w:w="8956" w:type="dxa"/>
            <w:shd w:val="clear" w:color="auto" w:fill="auto"/>
            <w:vAlign w:val="center"/>
          </w:tcPr>
          <w:p w14:paraId="2E4738A6" w14:textId="77777777" w:rsidR="00C7469D" w:rsidRDefault="00ED5619" w:rsidP="00E11005">
            <w:pPr>
              <w:ind w:left="57"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房睿：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15846530112</w:t>
            </w:r>
          </w:p>
        </w:tc>
      </w:tr>
    </w:tbl>
    <w:p w14:paraId="41F6BA83" w14:textId="77777777" w:rsidR="00C7469D" w:rsidRDefault="00C7469D" w:rsidP="00E11005">
      <w:pPr>
        <w:rPr>
          <w:rFonts w:ascii="Times New Roman" w:hAnsi="Times New Roman" w:cs="Times New Roman"/>
        </w:rPr>
      </w:pPr>
    </w:p>
    <w:sectPr w:rsidR="00C7469D" w:rsidSect="00E11005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4800" w16cex:dateUtc="2023-07-13T01:53:00Z"/>
  <w16cex:commentExtensible w16cex:durableId="285A383A" w16cex:dateUtc="2023-07-13T00:45:00Z"/>
  <w16cex:commentExtensible w16cex:durableId="285A3865" w16cex:dateUtc="2023-07-13T00:46:00Z"/>
  <w16cex:commentExtensible w16cex:durableId="285A38C4" w16cex:dateUtc="2023-07-13T00:48:00Z"/>
  <w16cex:commentExtensible w16cex:durableId="285A469E" w16cex:dateUtc="2023-07-13T01:47:00Z"/>
  <w16cex:commentExtensible w16cex:durableId="285A4DD9" w16cex:dateUtc="2023-07-13T02:18:00Z"/>
  <w16cex:commentExtensible w16cex:durableId="285A4E9F" w16cex:dateUtc="2023-07-13T02:21:00Z"/>
  <w16cex:commentExtensible w16cex:durableId="285A4F2F" w16cex:dateUtc="2023-07-13T02:23:00Z"/>
  <w16cex:commentExtensible w16cex:durableId="285A4F49" w16cex:dateUtc="2023-07-13T02:24:00Z"/>
  <w16cex:commentExtensible w16cex:durableId="285A4F76" w16cex:dateUtc="2023-07-13T02:24:00Z"/>
  <w16cex:commentExtensible w16cex:durableId="285A4FA6" w16cex:dateUtc="2023-07-13T02:25:00Z"/>
  <w16cex:commentExtensible w16cex:durableId="285A5039" w16cex:dateUtc="2023-07-13T02:28:00Z"/>
  <w16cex:commentExtensible w16cex:durableId="285A50AF" w16cex:dateUtc="2023-07-13T02:30:00Z"/>
  <w16cex:commentExtensible w16cex:durableId="285A5145" w16cex:dateUtc="2023-07-13T02:32:00Z"/>
  <w16cex:commentExtensible w16cex:durableId="285A5183" w16cex:dateUtc="2023-07-13T02:33:00Z"/>
  <w16cex:commentExtensible w16cex:durableId="285A587D" w16cex:dateUtc="2023-07-13T03:03:00Z"/>
  <w16cex:commentExtensible w16cex:durableId="285A5920" w16cex:dateUtc="2023-07-13T03:06:00Z"/>
  <w16cex:commentExtensible w16cex:durableId="285A5946" w16cex:dateUtc="2023-07-13T03:06:00Z"/>
  <w16cex:commentExtensible w16cex:durableId="285A5E3A" w16cex:dateUtc="2023-07-13T03:27:00Z"/>
  <w16cex:commentExtensible w16cex:durableId="285A5EB9" w16cex:dateUtc="2023-07-13T03:30:00Z"/>
  <w16cex:commentExtensible w16cex:durableId="285A5F44" w16cex:dateUtc="2023-07-13T03:32:00Z"/>
  <w16cex:commentExtensible w16cex:durableId="285A72C2" w16cex:dateUtc="2023-07-13T04:55:00Z"/>
  <w16cex:commentExtensible w16cex:durableId="285A752A" w16cex:dateUtc="2023-07-13T05:05:00Z"/>
  <w16cex:commentExtensible w16cex:durableId="285A759F" w16cex:dateUtc="2023-07-13T05:07:00Z"/>
  <w16cex:commentExtensible w16cex:durableId="285A75B0" w16cex:dateUtc="2023-07-13T05:08:00Z"/>
  <w16cex:commentExtensible w16cex:durableId="285A75E5" w16cex:dateUtc="2023-07-13T0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50DF" w14:textId="77777777" w:rsidR="00EF13D7" w:rsidRDefault="00EF13D7"/>
  </w:endnote>
  <w:endnote w:type="continuationSeparator" w:id="0">
    <w:p w14:paraId="09ECF8C8" w14:textId="77777777" w:rsidR="00EF13D7" w:rsidRDefault="00EF1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A6BE" w14:textId="77777777" w:rsidR="00EF13D7" w:rsidRDefault="00EF13D7"/>
  </w:footnote>
  <w:footnote w:type="continuationSeparator" w:id="0">
    <w:p w14:paraId="17EFB5D6" w14:textId="77777777" w:rsidR="00EF13D7" w:rsidRDefault="00EF13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74E"/>
    <w:multiLevelType w:val="multilevel"/>
    <w:tmpl w:val="0917674E"/>
    <w:lvl w:ilvl="0">
      <w:start w:val="1"/>
      <w:numFmt w:val="decimal"/>
      <w:pStyle w:val="2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6A40563F"/>
    <w:multiLevelType w:val="multilevel"/>
    <w:tmpl w:val="6A4056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zNjYwZmIzMTIzMmY2NmJhNTRmNDljZGE1ODRmNDcifQ=="/>
  </w:docVars>
  <w:rsids>
    <w:rsidRoot w:val="004E1441"/>
    <w:rsid w:val="0003488F"/>
    <w:rsid w:val="0005734C"/>
    <w:rsid w:val="0009034B"/>
    <w:rsid w:val="00155215"/>
    <w:rsid w:val="0016389B"/>
    <w:rsid w:val="00165D32"/>
    <w:rsid w:val="00192B77"/>
    <w:rsid w:val="001C2B70"/>
    <w:rsid w:val="001C7955"/>
    <w:rsid w:val="001D6B30"/>
    <w:rsid w:val="00210F25"/>
    <w:rsid w:val="002117E0"/>
    <w:rsid w:val="00235B02"/>
    <w:rsid w:val="00235C71"/>
    <w:rsid w:val="002B166B"/>
    <w:rsid w:val="002F46E5"/>
    <w:rsid w:val="00322BF9"/>
    <w:rsid w:val="003D6C05"/>
    <w:rsid w:val="003E45D9"/>
    <w:rsid w:val="00400BD5"/>
    <w:rsid w:val="0041596C"/>
    <w:rsid w:val="00423576"/>
    <w:rsid w:val="00470FA5"/>
    <w:rsid w:val="004742EA"/>
    <w:rsid w:val="00486359"/>
    <w:rsid w:val="004D476E"/>
    <w:rsid w:val="004E1441"/>
    <w:rsid w:val="005346E4"/>
    <w:rsid w:val="005369AC"/>
    <w:rsid w:val="00571E7B"/>
    <w:rsid w:val="005A3D0C"/>
    <w:rsid w:val="005E793B"/>
    <w:rsid w:val="0064448E"/>
    <w:rsid w:val="006556D4"/>
    <w:rsid w:val="00684920"/>
    <w:rsid w:val="00685899"/>
    <w:rsid w:val="00690D3B"/>
    <w:rsid w:val="006C60EC"/>
    <w:rsid w:val="007376B5"/>
    <w:rsid w:val="00744E4E"/>
    <w:rsid w:val="00744FDC"/>
    <w:rsid w:val="00755EE9"/>
    <w:rsid w:val="00760D8B"/>
    <w:rsid w:val="00776316"/>
    <w:rsid w:val="0078108F"/>
    <w:rsid w:val="007B3279"/>
    <w:rsid w:val="007D101C"/>
    <w:rsid w:val="007E4FBE"/>
    <w:rsid w:val="007F2F30"/>
    <w:rsid w:val="008051CA"/>
    <w:rsid w:val="0080677B"/>
    <w:rsid w:val="008137CB"/>
    <w:rsid w:val="0082328F"/>
    <w:rsid w:val="008428F8"/>
    <w:rsid w:val="00853791"/>
    <w:rsid w:val="0086597A"/>
    <w:rsid w:val="00867423"/>
    <w:rsid w:val="00896326"/>
    <w:rsid w:val="008E151F"/>
    <w:rsid w:val="008E3435"/>
    <w:rsid w:val="008F5B4E"/>
    <w:rsid w:val="00922821"/>
    <w:rsid w:val="00927125"/>
    <w:rsid w:val="00953252"/>
    <w:rsid w:val="00966FB3"/>
    <w:rsid w:val="009769E2"/>
    <w:rsid w:val="009A6DF1"/>
    <w:rsid w:val="009A7171"/>
    <w:rsid w:val="009F5062"/>
    <w:rsid w:val="00A00F06"/>
    <w:rsid w:val="00A15151"/>
    <w:rsid w:val="00A274D2"/>
    <w:rsid w:val="00A6379A"/>
    <w:rsid w:val="00A64CC8"/>
    <w:rsid w:val="00AC6F84"/>
    <w:rsid w:val="00AD4570"/>
    <w:rsid w:val="00AE2E1A"/>
    <w:rsid w:val="00AF26CA"/>
    <w:rsid w:val="00B172D3"/>
    <w:rsid w:val="00B45289"/>
    <w:rsid w:val="00B72583"/>
    <w:rsid w:val="00BC34FC"/>
    <w:rsid w:val="00C0045D"/>
    <w:rsid w:val="00C36A1D"/>
    <w:rsid w:val="00C37718"/>
    <w:rsid w:val="00C572E9"/>
    <w:rsid w:val="00C67744"/>
    <w:rsid w:val="00C74672"/>
    <w:rsid w:val="00C7469D"/>
    <w:rsid w:val="00C9566A"/>
    <w:rsid w:val="00D138AE"/>
    <w:rsid w:val="00D66F48"/>
    <w:rsid w:val="00D81389"/>
    <w:rsid w:val="00D87B59"/>
    <w:rsid w:val="00DA07C0"/>
    <w:rsid w:val="00DA0AD9"/>
    <w:rsid w:val="00DA347E"/>
    <w:rsid w:val="00DC0E07"/>
    <w:rsid w:val="00E11005"/>
    <w:rsid w:val="00E40BE7"/>
    <w:rsid w:val="00E51B64"/>
    <w:rsid w:val="00E55520"/>
    <w:rsid w:val="00E74695"/>
    <w:rsid w:val="00E807D9"/>
    <w:rsid w:val="00E84959"/>
    <w:rsid w:val="00E86339"/>
    <w:rsid w:val="00EC0DA7"/>
    <w:rsid w:val="00ED5619"/>
    <w:rsid w:val="00EE6BCA"/>
    <w:rsid w:val="00EF13D7"/>
    <w:rsid w:val="00F11FF9"/>
    <w:rsid w:val="00F213B5"/>
    <w:rsid w:val="00F97080"/>
    <w:rsid w:val="040A553D"/>
    <w:rsid w:val="04DC4943"/>
    <w:rsid w:val="1041184B"/>
    <w:rsid w:val="126736F9"/>
    <w:rsid w:val="15076A4D"/>
    <w:rsid w:val="17AB0837"/>
    <w:rsid w:val="18FC21B4"/>
    <w:rsid w:val="2060125A"/>
    <w:rsid w:val="2FBB6ACC"/>
    <w:rsid w:val="30E9087A"/>
    <w:rsid w:val="48247180"/>
    <w:rsid w:val="593F2F66"/>
    <w:rsid w:val="5DBF1976"/>
    <w:rsid w:val="66840BE7"/>
    <w:rsid w:val="6ACD3714"/>
    <w:rsid w:val="70C04FE9"/>
    <w:rsid w:val="71042D34"/>
    <w:rsid w:val="74524940"/>
    <w:rsid w:val="7A4A1526"/>
    <w:rsid w:val="7D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7FE9"/>
  <w15:docId w15:val="{49267BED-7DBE-4C39-B943-2B1BE8B2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2"/>
    <w:next w:val="a"/>
    <w:link w:val="10"/>
    <w:uiPriority w:val="9"/>
    <w:qFormat/>
    <w:pPr>
      <w:outlineLvl w:val="0"/>
    </w:pPr>
    <w:rPr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snapToGrid w:val="0"/>
      <w:spacing w:afterLines="50" w:after="156" w:line="560" w:lineRule="exact"/>
      <w:ind w:firstLineChars="0" w:firstLine="0"/>
      <w:jc w:val="center"/>
      <w:outlineLvl w:val="1"/>
    </w:pPr>
    <w:rPr>
      <w:rFonts w:ascii="方正小标宋_GBK" w:eastAsia="方正小标宋_GBK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rPr>
      <w:rFonts w:ascii="方正小标宋_GBK" w:eastAsia="方正小标宋_GBK"/>
      <w:sz w:val="36"/>
      <w:szCs w:val="36"/>
    </w:rPr>
  </w:style>
  <w:style w:type="character" w:customStyle="1" w:styleId="10">
    <w:name w:val="标题 1 字符"/>
    <w:basedOn w:val="a1"/>
    <w:link w:val="1"/>
    <w:uiPriority w:val="9"/>
    <w:rPr>
      <w:rFonts w:ascii="方正小标宋_GBK" w:eastAsia="方正小标宋_GBK"/>
      <w:sz w:val="32"/>
      <w:szCs w:val="32"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  <w:spacing w:line="360" w:lineRule="auto"/>
      <w:ind w:firstLine="420"/>
    </w:pPr>
    <w:rPr>
      <w:kern w:val="0"/>
      <w:sz w:val="24"/>
    </w:rPr>
  </w:style>
  <w:style w:type="character" w:styleId="a8">
    <w:name w:val="annotation reference"/>
    <w:basedOn w:val="a1"/>
    <w:uiPriority w:val="99"/>
    <w:semiHidden/>
    <w:unhideWhenUsed/>
    <w:rsid w:val="00E40BE7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E40BE7"/>
    <w:pPr>
      <w:jc w:val="left"/>
    </w:pPr>
  </w:style>
  <w:style w:type="character" w:customStyle="1" w:styleId="aa">
    <w:name w:val="批注文字 字符"/>
    <w:basedOn w:val="a1"/>
    <w:link w:val="a9"/>
    <w:uiPriority w:val="99"/>
    <w:rsid w:val="00E40BE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0BE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40BE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66F48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D66F48"/>
    <w:rPr>
      <w:kern w:val="2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15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1146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R</dc:creator>
  <cp:lastModifiedBy>F R</cp:lastModifiedBy>
  <cp:revision>6</cp:revision>
  <dcterms:created xsi:type="dcterms:W3CDTF">2023-07-16T14:09:00Z</dcterms:created>
  <dcterms:modified xsi:type="dcterms:W3CDTF">2023-07-17T14:07:00Z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B84815945FD84CF2A0F74B82C50F9AB9</vt:lpwstr>
  </property>
</Properties>
</file>